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rFonts w:ascii="Times New Roman" w:hAnsi="Times New Roman"/>
          <w:b/>
          <w:b/>
          <w:i w:val="false"/>
          <w:i w:val="false"/>
          <w:color w:val="000000"/>
          <w:sz w:val="28"/>
        </w:rPr>
      </w:pPr>
      <w:bookmarkStart w:id="0" w:name="block-14201041_Copy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t>‌</w:t>
      </w:r>
      <w:bookmarkStart w:id="1" w:name="ab394930-da1d-4ba0-ac4d-738f874a3916"/>
      <w:r>
        <w:rPr>
          <w:rFonts w:ascii="Times New Roman" w:hAnsi="Times New Roman"/>
          <w:b/>
          <w:i w:val="false"/>
          <w:color w:val="000000"/>
          <w:sz w:val="28"/>
        </w:rPr>
        <w:t>Министерство образования и науки Алтайского края</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2" w:name="7d574f4c-8143-48c3-8ad3-2fcc5bdbaf43"/>
      <w:r>
        <w:rPr>
          <w:rFonts w:ascii="Times New Roman" w:hAnsi="Times New Roman"/>
          <w:b/>
          <w:i w:val="false"/>
          <w:color w:val="000000"/>
          <w:sz w:val="28"/>
        </w:rPr>
        <w:t>‌</w:t>
      </w:r>
      <w:r>
        <w:rPr>
          <w:rFonts w:ascii="Times New Roman" w:hAnsi="Times New Roman"/>
          <w:b/>
          <w:i w:val="false"/>
          <w:color w:val="000000"/>
          <w:sz w:val="28"/>
        </w:rPr>
        <w:t>МКУ "Комитет по образованию Бийского района по образованию и делам молодёжи"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lang w:val="ru-RU"/>
        </w:rPr>
        <w:t>М</w:t>
      </w:r>
      <w:r>
        <w:rPr>
          <w:rFonts w:ascii="Times New Roman" w:hAnsi="Times New Roman"/>
          <w:b/>
          <w:i w:val="false"/>
          <w:color w:val="000000"/>
          <w:sz w:val="28"/>
          <w:lang w:val="ru-RU"/>
        </w:rPr>
        <w:t>Б</w:t>
      </w:r>
      <w:r>
        <w:rPr>
          <w:rFonts w:ascii="Times New Roman" w:hAnsi="Times New Roman"/>
          <w:b/>
          <w:i w:val="false"/>
          <w:color w:val="000000"/>
          <w:sz w:val="28"/>
          <w:lang w:val="ru-RU"/>
        </w:rPr>
        <w:t>ОУ</w:t>
      </w:r>
      <w:r>
        <w:rPr>
          <w:rFonts w:ascii="Times New Roman" w:hAnsi="Times New Roman"/>
          <w:b/>
          <w:i w:val="false"/>
          <w:color w:val="000000"/>
          <w:sz w:val="28"/>
        </w:rPr>
        <w:t xml:space="preserve"> "Усятская СОШ "</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МО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Крехтунова О.Г.</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 от «28» 08</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Бондаренко Ю.В.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 от «29» 08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и.о. директора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Савицкая М.В.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 от «30» 08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hanging="0"/>
        <w:jc w:val="left"/>
        <w:rPr>
          <w:rFonts w:ascii="Times New Roman" w:hAnsi="Times New Roman"/>
          <w:b/>
          <w:b/>
          <w:i w:val="false"/>
          <w:i w:val="false"/>
          <w:color w:val="000000"/>
          <w:sz w:val="28"/>
        </w:rPr>
      </w:pPr>
      <w:r>
        <w:rPr/>
      </w:r>
      <w:bookmarkStart w:id="3" w:name="block-7206709_Copy_1"/>
      <w:bookmarkStart w:id="4" w:name="block-7206709_Copy_1"/>
      <w:bookmarkEnd w:id="4"/>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8"/>
        </w:rPr>
        <w:t>(ID 1010323)</w:t>
      </w:r>
    </w:p>
    <w:p>
      <w:pPr>
        <w:pStyle w:val="Normal"/>
        <w:spacing w:before="0" w:after="0"/>
        <w:ind w:left="120" w:hanging="0"/>
        <w:jc w:val="center"/>
        <w:rPr/>
      </w:pPr>
      <w:r>
        <w:rPr/>
      </w:r>
    </w:p>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t>учебного предмета «Биология. Углубленный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5" w:name="block-7206709_Copy_1"/>
      <w:bookmarkStart w:id="6" w:name="block-7206709"/>
      <w:bookmarkStart w:id="7" w:name="block-7206709_Copy_1"/>
      <w:bookmarkStart w:id="8" w:name="block-7206709"/>
      <w:bookmarkEnd w:id="7"/>
      <w:bookmarkEnd w:id="8"/>
    </w:p>
    <w:p>
      <w:pPr>
        <w:pStyle w:val="Normal"/>
        <w:spacing w:lineRule="exact" w:line="264" w:before="0" w:after="0"/>
        <w:ind w:firstLine="600"/>
        <w:jc w:val="both"/>
        <w:rPr>
          <w:rFonts w:ascii="Times New Roman" w:hAnsi="Times New Roman"/>
          <w:b/>
          <w:b/>
          <w:i w:val="false"/>
          <w:i w:val="false"/>
          <w:color w:val="000000"/>
          <w:sz w:val="28"/>
        </w:rPr>
      </w:pPr>
      <w:bookmarkStart w:id="9" w:name="block-7206709"/>
      <w:bookmarkStart w:id="10" w:name="block-7206710_Copy_1"/>
      <w:bookmarkEnd w:id="9"/>
      <w:r>
        <w:rPr>
          <w:rFonts w:ascii="Times New Roman" w:hAnsi="Times New Roman"/>
          <w:b/>
          <w:i w:val="false"/>
          <w:color w:val="000000"/>
          <w:sz w:val="28"/>
        </w:rPr>
        <w:t>ПОЯСНИТЕЛЬНАЯ ЗАПИСКА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pStyle w:val="Normal"/>
        <w:spacing w:lineRule="exact" w:line="264" w:before="0" w:after="0"/>
        <w:ind w:firstLine="600"/>
        <w:jc w:val="both"/>
        <w:rPr>
          <w:rFonts w:ascii="Times New Roman" w:hAnsi="Times New Roman"/>
          <w:b w:val="false"/>
          <w:b w:val="false"/>
          <w:i w:val="false"/>
          <w:i w:val="false"/>
          <w:color w:val="000000"/>
          <w:sz w:val="28"/>
        </w:rPr>
      </w:pPr>
      <w:bookmarkStart w:id="11" w:name="ae087229-bc2a-42f7-a634-a0357f20ae55"/>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11"/>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b w:val="false"/>
          <w:b w:val="false"/>
          <w:i w:val="false"/>
          <w:i w:val="false"/>
          <w:color w:val="000000"/>
          <w:sz w:val="28"/>
        </w:rPr>
      </w:pPr>
      <w:bookmarkStart w:id="12" w:name="block-7206710_Copy_1"/>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bookmarkStart w:id="13" w:name="block-7206710"/>
      <w:bookmarkEnd w:id="12"/>
    </w:p>
    <w:p>
      <w:pPr>
        <w:pStyle w:val="Normal"/>
        <w:spacing w:lineRule="exact" w:line="264" w:before="0" w:after="0"/>
        <w:ind w:left="120" w:hanging="0"/>
        <w:jc w:val="both"/>
        <w:rPr>
          <w:rFonts w:ascii="Times New Roman" w:hAnsi="Times New Roman"/>
          <w:b/>
          <w:b/>
          <w:i w:val="false"/>
          <w:i w:val="false"/>
          <w:color w:val="000000"/>
          <w:sz w:val="28"/>
        </w:rPr>
      </w:pPr>
      <w:bookmarkStart w:id="14" w:name="block-7206711_Copy_1"/>
      <w:bookmarkEnd w:id="13"/>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 xml:space="preserve">Тема 1. Биология как наука </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«Связь биологии с другими науками», «Система биологических наук».</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2. Живые системы и их изучение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лабораторное оборудование для проведения наблюдений, измерений, экспериментов.</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3. Биология клетки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pStyle w:val="Normal"/>
        <w:spacing w:lineRule="exact" w:line="264" w:before="0" w:after="0"/>
        <w:ind w:firstLine="600"/>
        <w:jc w:val="both"/>
        <w:rPr/>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Р. Гук, А. Левенгук, Т. Шванн, М. Шлейден, Р. Вирхов, К. М. Бэр.</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«Световой микроскоп», «Электронный микроскоп», «История развития методов микроскопии».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световой микроскоп, микропрепараты растительных, животных и бактериальных клеток.</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4. Химическая организация клетки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pStyle w:val="Normal"/>
        <w:spacing w:lineRule="exact" w:line="264" w:before="0" w:after="0"/>
        <w:ind w:firstLine="600"/>
        <w:jc w:val="both"/>
        <w:rPr/>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pStyle w:val="Normal"/>
        <w:spacing w:lineRule="exact" w:line="264" w:before="0" w:after="0"/>
        <w:ind w:firstLine="600"/>
        <w:jc w:val="both"/>
        <w:rPr/>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p>
    <w:p>
      <w:pPr>
        <w:pStyle w:val="Normal"/>
        <w:spacing w:lineRule="exact" w:line="264" w:before="0" w:after="0"/>
        <w:ind w:firstLine="600"/>
        <w:jc w:val="both"/>
        <w:rPr/>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Л. Полинг, Дж. Уотсон, Ф. Крик, М. Уилкинс, Р. Франклин, Ф. Сэнгер, С. Прузинер.</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Диаграммы: «Распределение химических элементов в неживой природе», «Распределение химических элементов в живой природе».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химическая посуда и оборудование.</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5. Строение и функции клетки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pStyle w:val="Normal"/>
        <w:spacing w:lineRule="exact" w:line="264" w:before="0" w:after="0"/>
        <w:ind w:firstLine="600"/>
        <w:jc w:val="both"/>
        <w:rPr/>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 xml:space="preserve">Механизм направления белков в ЭПС.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pStyle w:val="Normal"/>
        <w:spacing w:lineRule="exact" w:line="264" w:before="0" w:after="0"/>
        <w:ind w:firstLine="600"/>
        <w:jc w:val="both"/>
        <w:rPr/>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pStyle w:val="Normal"/>
        <w:spacing w:lineRule="exact" w:line="264" w:before="0" w:after="0"/>
        <w:ind w:firstLine="600"/>
        <w:jc w:val="both"/>
        <w:rPr/>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pStyle w:val="Normal"/>
        <w:spacing w:lineRule="exact" w:line="264" w:before="0" w:after="0"/>
        <w:ind w:firstLine="600"/>
        <w:jc w:val="both"/>
        <w:rPr/>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 Ядерный транспорт.</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К.С. Мережковский, Л. Маргулис.</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световой микроскоп, микропрепараты растительных, животных клеток, микропрепараты бактериальных клеток.</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6. Обмен веществ и превращение энергии в клетке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pStyle w:val="Normal"/>
        <w:spacing w:lineRule="exact" w:line="264" w:before="0" w:after="0"/>
        <w:ind w:firstLine="600"/>
        <w:jc w:val="both"/>
        <w:rPr/>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 С</w:t>
      </w:r>
      <w:r>
        <w:rPr>
          <w:rFonts w:ascii="Times New Roman" w:hAnsi="Times New Roman"/>
          <w:b w:val="false"/>
          <w:i/>
          <w:color w:val="000000"/>
          <w:sz w:val="28"/>
          <w:vertAlign w:val="subscript"/>
        </w:rPr>
        <w:t>3-</w:t>
      </w:r>
      <w:r>
        <w:rPr>
          <w:rFonts w:ascii="Times New Roman" w:hAnsi="Times New Roman"/>
          <w:b w:val="false"/>
          <w:i/>
          <w:color w:val="000000"/>
          <w:sz w:val="28"/>
        </w:rPr>
        <w:t>, 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CAM-типы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pStyle w:val="Normal"/>
        <w:spacing w:lineRule="exact" w:line="264" w:before="0" w:after="0"/>
        <w:ind w:firstLine="600"/>
        <w:jc w:val="both"/>
        <w:rPr/>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Дж. Пристли, К. А. Тимирязев, С. Н. Виноградский, В. А. Энгельгардт, П. Митчелл, Г. А. Заварзин.</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«Фотосинтез», «Энергетический обмен», «Биосинтез белка», «Строение фермента», «Хемосинтез».</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световой микроскоп, оборудование для приготовления постоянных и временных микропрепаратов.</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7. Наследственная информация и реализация её в клетке</w:t>
      </w:r>
    </w:p>
    <w:p>
      <w:pPr>
        <w:pStyle w:val="Normal"/>
        <w:spacing w:lineRule="exact" w:line="264" w:before="0" w:after="0"/>
        <w:ind w:firstLine="600"/>
        <w:jc w:val="both"/>
        <w:rPr/>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pStyle w:val="Normal"/>
        <w:spacing w:lineRule="exact" w:line="264" w:before="0" w:after="0"/>
        <w:ind w:firstLine="600"/>
        <w:jc w:val="both"/>
        <w:rPr/>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pStyle w:val="Normal"/>
        <w:spacing w:lineRule="exact" w:line="264" w:before="0" w:after="0"/>
        <w:ind w:firstLine="600"/>
        <w:jc w:val="both"/>
        <w:rPr/>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pStyle w:val="Normal"/>
        <w:spacing w:lineRule="exact" w:line="264" w:before="0" w:after="0"/>
        <w:ind w:firstLine="600"/>
        <w:jc w:val="both"/>
        <w:rPr/>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Н. К. Кольцов, Д. И. Ивановский.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«Биосинтез белка», «Генетический код», «Вирусы», «Бактериофаги».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8. Жизненный цикл клетки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pStyle w:val="Normal"/>
        <w:spacing w:lineRule="exact" w:line="264" w:before="0" w:after="0"/>
        <w:ind w:firstLine="600"/>
        <w:jc w:val="both"/>
        <w:rPr/>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«Жизненный цикл клетки», «Митоз», «Строение хромосом», «Репликация ДНК».</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световой микроскоп, микропрепараты: «Митоз в клетках корешка лука».</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9. Строение и функции организмов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 И. П. Павлов.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10. Размножение и развитие организмов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pStyle w:val="Normal"/>
        <w:spacing w:lineRule="exact" w:line="264" w:before="0" w:after="0"/>
        <w:ind w:firstLine="600"/>
        <w:jc w:val="both"/>
        <w:rPr/>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Механизмы регуляции онтогенеза у растений и животных.</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С. Г. Навашин, Х. Шпеман.</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световой микроскоп, микропрепараты яйцеклеток и сперматозоидов, модель «Цикл развития лягушки».</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11. Генетика – наука о наследственности и изменчивости организмов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«Методы генетики», «Схемы скрещивания».</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12. Закономерности наследственности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Г. Мендель, Т. Морган.</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13. Закономерности изменчивости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pStyle w:val="Normal"/>
        <w:spacing w:lineRule="exact" w:line="264" w:before="0" w:after="0"/>
        <w:ind w:firstLine="600"/>
        <w:jc w:val="both"/>
        <w:rPr>
          <w:rFonts w:ascii="Times New Roman" w:hAnsi="Times New Roman"/>
          <w:b w:val="false"/>
          <w:b w:val="false"/>
          <w:i/>
          <w:i/>
          <w:color w:val="000000"/>
          <w:sz w:val="28"/>
        </w:rPr>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Г. де Фриз, В. Иоганнсен, Н. И. Вавилов.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живые и гербарные экземпляры комнатных растений, рисунки (фотографии) животных с различными видами изменчивости.</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14. Генетика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«Кариотип человека», «Методы изучения генетики человека», «Генетические заболевания человека».</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15. Селекция организмов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pStyle w:val="Normal"/>
        <w:spacing w:lineRule="exact" w:line="264" w:before="0" w:after="0"/>
        <w:ind w:firstLine="600"/>
        <w:jc w:val="both"/>
        <w:rPr/>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pStyle w:val="Normal"/>
        <w:spacing w:lineRule="exact" w:line="264" w:before="0" w:after="0"/>
        <w:ind w:firstLine="600"/>
        <w:jc w:val="both"/>
        <w:rPr/>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Н. И. Вавилов, И. В. Мичурин, Г. Д. Карпеченко, П. П. Лукьяненко, Б. Л. Астауров, Н. Борлоуг, Д. К. Беляев.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pStyle w:val="Normal"/>
        <w:spacing w:lineRule="exact" w:line="264" w:before="0" w:after="0"/>
        <w:ind w:firstLine="600"/>
        <w:jc w:val="both"/>
        <w:rPr/>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16. Биотехнология и синтетическая биология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pStyle w:val="Normal"/>
        <w:spacing w:lineRule="exact" w:line="264" w:before="0" w:after="0"/>
        <w:ind w:firstLine="600"/>
        <w:jc w:val="both"/>
        <w:rPr/>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«Использование микроорганизмов в промышленном производстве», «Клеточная инженерия», «Генная инженерия».</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pStyle w:val="Normal"/>
        <w:spacing w:lineRule="exact" w:line="264" w:before="0" w:after="0"/>
        <w:ind w:firstLine="600"/>
        <w:jc w:val="both"/>
        <w:rPr/>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Аристотель, К. Линней, Ж. Б. Ламарк, Э. Ж. Сент-Илер, Ж. Кювье, Ч. Дарвин, С. С. Четвериков, И. И. Шмальгаузен, Дж. Холдейн, Д. К. Беляев.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2. Микроэволюция и её результаты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pStyle w:val="Normal"/>
        <w:spacing w:lineRule="exact" w:line="264" w:before="0" w:after="0"/>
        <w:ind w:firstLine="600"/>
        <w:jc w:val="both"/>
        <w:rPr/>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Механизмы формирования биологического разнообразия.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С. С. Четвериков, Э. Майр.</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3. Макроэволюция и её результаты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Хромосомные мутации и эволюция геномов.</w:t>
      </w:r>
    </w:p>
    <w:p>
      <w:pPr>
        <w:pStyle w:val="Normal"/>
        <w:spacing w:lineRule="exact" w:line="264" w:before="0" w:after="0"/>
        <w:ind w:firstLine="600"/>
        <w:jc w:val="both"/>
        <w:rPr/>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К. М. Бэр, А. О. Ковалевский, Ф. Мюллер, Э. Геккель.</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4. Происхождение и развитие жизни на Земле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Ф. Реди, Л. Спалланцани, Л. Пастер, И. И. Мечников, А. И. Опарин, Дж. Холдейн, Г. Мёллер, С. Миллер, Г. Юри.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pStyle w:val="Normal"/>
        <w:spacing w:lineRule="exact" w:line="264" w:before="0" w:after="0"/>
        <w:ind w:firstLine="600"/>
        <w:jc w:val="both"/>
        <w:rPr/>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5. Происхождение человека – антропогенез</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Разделы и задачи антропологии. Методы антропологии.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Ч. Дарвин, Л. Лики, Я. Я. Рогинский, М. М. Герасимов.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А. Гумбольдт, К. Ф. Рулье, Н. А. Северцов, Э. Геккель, А. Тенсли, В. Н. Сукачёв.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«Разделы экологии», «Методы экологии», «Схема мониторинга окружающей среды».</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7. Организмы и среда обитания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8. Экология видов и популяций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 Дж. И. Хатчинсон.</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гербарии растений, коллекции животных.</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9. Экология сообществ. Экологические системы.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pStyle w:val="Normal"/>
        <w:spacing w:lineRule="exact" w:line="264" w:before="0" w:after="0"/>
        <w:ind w:firstLine="600"/>
        <w:jc w:val="both"/>
        <w:rPr/>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pStyle w:val="Normal"/>
        <w:spacing w:lineRule="exact" w:line="264" w:before="0" w:after="0"/>
        <w:ind w:firstLine="600"/>
        <w:jc w:val="both"/>
        <w:rPr/>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pStyle w:val="Normal"/>
        <w:spacing w:lineRule="exact" w:line="264" w:before="0" w:after="0"/>
        <w:ind w:firstLine="600"/>
        <w:jc w:val="both"/>
        <w:rPr/>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pStyle w:val="Normal"/>
        <w:spacing w:lineRule="exact" w:line="264" w:before="0" w:after="0"/>
        <w:ind w:firstLine="600"/>
        <w:jc w:val="both"/>
        <w:rPr/>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 А. Дж. Тенсли.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pPr>
        <w:pStyle w:val="Normal"/>
        <w:spacing w:lineRule="exact" w:line="264" w:before="0" w:after="0"/>
        <w:ind w:firstLine="600"/>
        <w:jc w:val="both"/>
        <w:rPr/>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pStyle w:val="Normal"/>
        <w:spacing w:lineRule="exact" w:line="264" w:before="0" w:after="0"/>
        <w:ind w:firstLine="600"/>
        <w:jc w:val="both"/>
        <w:rPr/>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pStyle w:val="Normal"/>
        <w:spacing w:lineRule="exact" w:line="264" w:before="0" w:after="0"/>
        <w:ind w:firstLine="600"/>
        <w:jc w:val="both"/>
        <w:rPr/>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pStyle w:val="Normal"/>
        <w:spacing w:lineRule="exact" w:line="264" w:before="0" w:after="0"/>
        <w:ind w:firstLine="600"/>
        <w:jc w:val="both"/>
        <w:rPr/>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10. Биосфера – глобальная экосистема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Портреты: В. И. Вернадский, Э. Зюсс.</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Оборудование: гербарии растений разных биомов, коллекции животных.</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Тема 11. Человек и окружающая среда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Демонстрации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rFonts w:ascii="Times New Roman" w:hAnsi="Times New Roman"/>
          <w:b w:val="false"/>
          <w:b w:val="false"/>
          <w:i w:val="false"/>
          <w:i w:val="false"/>
          <w:color w:val="000000"/>
          <w:sz w:val="28"/>
        </w:rPr>
      </w:pPr>
      <w:bookmarkStart w:id="15" w:name="block-7206711_Copy_1"/>
      <w:r>
        <w:rPr>
          <w:rFonts w:ascii="Times New Roman" w:hAnsi="Times New Roman"/>
          <w:b w:val="false"/>
          <w:i w:val="false"/>
          <w:color w:val="000000"/>
          <w:sz w:val="28"/>
        </w:rPr>
        <w:t>Оборудование: фотографии охраняемых растений и животных Красной книги Российской Федерации, Красной книги региона.</w:t>
      </w:r>
      <w:bookmarkStart w:id="16" w:name="block-7206711"/>
      <w:bookmarkEnd w:id="15"/>
    </w:p>
    <w:p>
      <w:pPr>
        <w:pStyle w:val="Normal"/>
        <w:spacing w:lineRule="exact" w:line="264" w:before="0" w:after="0"/>
        <w:ind w:left="120" w:hanging="0"/>
        <w:jc w:val="left"/>
        <w:rPr>
          <w:rFonts w:ascii="Times New Roman" w:hAnsi="Times New Roman"/>
          <w:b/>
          <w:b/>
          <w:i w:val="false"/>
          <w:i w:val="false"/>
          <w:color w:val="000000"/>
          <w:sz w:val="28"/>
        </w:rPr>
      </w:pPr>
      <w:bookmarkStart w:id="17" w:name="block-7206712_Copy_1"/>
      <w:bookmarkEnd w:id="16"/>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pStyle w:val="Normal"/>
        <w:spacing w:lineRule="exact" w:line="264" w:before="0" w:after="0"/>
        <w:ind w:left="120" w:hanging="0"/>
        <w:jc w:val="left"/>
        <w:rPr/>
      </w:pPr>
      <w:r>
        <w:rPr/>
      </w:r>
    </w:p>
    <w:p>
      <w:pPr>
        <w:pStyle w:val="Normal"/>
        <w:spacing w:lineRule="exact" w:line="264"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left"/>
        <w:rPr/>
      </w:pPr>
      <w:r>
        <w:rPr/>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pStyle w:val="Normal"/>
        <w:spacing w:lineRule="exact" w:line="264" w:before="0" w:after="0"/>
        <w:ind w:firstLine="600"/>
        <w:jc w:val="both"/>
        <w:rPr/>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 xml:space="preserve">готовность и способность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 ставить</w:t>
      </w:r>
      <w:r>
        <w:rPr>
          <w:rFonts w:ascii="Times New Roman" w:hAnsi="Times New Roman"/>
          <w:b w:val="false"/>
          <w:i w:val="false"/>
          <w:color w:val="000000"/>
          <w:sz w:val="28"/>
        </w:rPr>
        <w:t xml:space="preserve"> цели и строить жизненные планы.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2) патриотического воспитания: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осознание духовных ценностей российского народа;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сформированность нравственного сознания, этического поведения;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4) эстетического воспитания: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понимание эмоционального воздействия живой природы и её ценности;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6) трудового воспитания: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7) экологического воспитания: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8) ценности научного познания: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pStyle w:val="Normal"/>
        <w:spacing w:before="0" w:after="0"/>
        <w:ind w:left="120" w:hanging="0"/>
        <w:jc w:val="left"/>
        <w:rPr/>
      </w:pPr>
      <w:r>
        <w:rPr/>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МЕТАПРЕДМЕТНЫЕ РЕЗУЛЬТАТЫ</w:t>
      </w:r>
    </w:p>
    <w:p>
      <w:pPr>
        <w:pStyle w:val="Normal"/>
        <w:spacing w:before="0" w:after="0"/>
        <w:ind w:left="120" w:hanging="0"/>
        <w:jc w:val="left"/>
        <w:rPr/>
      </w:pPr>
      <w:r>
        <w:rPr/>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Овладение универсальными учебными познавательными действиями:</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развивать креативное мышление при решении жизненных проблем.</w:t>
      </w:r>
    </w:p>
    <w:p>
      <w:pPr>
        <w:pStyle w:val="Normal"/>
        <w:spacing w:lineRule="exact" w:line="264" w:before="0" w:after="0"/>
        <w:ind w:firstLine="60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давать оценку новым ситуациям, оценивать приобретённый опыт;</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уметь интегрировать знания из разных предметных областей;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3) работа с информацией: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Овладение универсальными коммуникативными действиями:</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pStyle w:val="Normal"/>
        <w:spacing w:lineRule="exact" w:line="264" w:before="0" w:after="0"/>
        <w:ind w:firstLine="60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exact" w:line="264" w:before="0" w:after="0"/>
        <w:ind w:firstLine="600"/>
        <w:jc w:val="both"/>
        <w:rPr>
          <w:rFonts w:ascii="Times New Roman" w:hAnsi="Times New Roman"/>
          <w:b/>
          <w:b/>
          <w:i w:val="false"/>
          <w:i w:val="false"/>
          <w:color w:val="000000"/>
          <w:sz w:val="28"/>
        </w:rPr>
      </w:pPr>
      <w:r>
        <w:rPr>
          <w:rFonts w:ascii="Times New Roman" w:hAnsi="Times New Roman"/>
          <w:b/>
          <w:i w:val="false"/>
          <w:color w:val="000000"/>
          <w:sz w:val="28"/>
        </w:rPr>
        <w:t>Овладение универсальными регулятивными действиями:</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давать оценку новым ситуациям;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оценивать приобретённый опыт;</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exact" w:line="264" w:before="0" w:after="0"/>
        <w:ind w:firstLine="60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уметь оценивать риски и своевременно принимать решения по их снижению;</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принимать себя, понимая свои недостатки и достоинства;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признавать своё право и право других на ошибки;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ПРЕДМЕТНЫЕ РЕЗУЛЬТАТЫ</w:t>
      </w:r>
    </w:p>
    <w:p>
      <w:pPr>
        <w:pStyle w:val="Normal"/>
        <w:spacing w:before="0" w:after="0"/>
        <w:ind w:left="120" w:hanging="0"/>
        <w:jc w:val="left"/>
        <w:rPr/>
      </w:pPr>
      <w:r>
        <w:rPr/>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b w:val="false"/>
          <w:b w:val="false"/>
          <w:i w:val="false"/>
          <w:i w:val="false"/>
          <w:color w:val="000000"/>
          <w:sz w:val="28"/>
        </w:rPr>
      </w:pPr>
      <w:bookmarkStart w:id="18" w:name="block-7206712_Copy_1"/>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bookmarkStart w:id="19" w:name="block-7206712"/>
      <w:bookmarkEnd w:id="18"/>
    </w:p>
    <w:p>
      <w:pPr>
        <w:pStyle w:val="Normal"/>
        <w:spacing w:before="0" w:after="0"/>
        <w:ind w:left="120" w:hanging="0"/>
        <w:jc w:val="left"/>
        <w:rPr>
          <w:rFonts w:ascii="Times New Roman" w:hAnsi="Times New Roman"/>
          <w:b/>
          <w:b/>
          <w:i w:val="false"/>
          <w:i w:val="false"/>
          <w:color w:val="000000"/>
          <w:sz w:val="28"/>
        </w:rPr>
      </w:pPr>
      <w:bookmarkStart w:id="20" w:name="block-7206713"/>
      <w:bookmarkEnd w:id="19"/>
      <w:bookmarkEnd w:id="20"/>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666"/>
        <w:gridCol w:w="2720"/>
        <w:gridCol w:w="1404"/>
        <w:gridCol w:w="2437"/>
        <w:gridCol w:w="2563"/>
        <w:gridCol w:w="3803"/>
      </w:tblGrid>
      <w:tr>
        <w:trPr>
          <w:trHeight w:val="144" w:hRule="atLeast"/>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0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38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6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0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Биология как наука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Живые системы и их изучение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Биология клетки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Химическая организация клетки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Строение и функции клетки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Обмен веществ и превращение энергии в клетке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Наследственная информация и реализация её в клетке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Жизненный цикл клетки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Строение и функции организмов</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Размножение и развитие организмов</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Генетика – наука о наследственности и изменчивости организмов</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Закономерности наследственности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Закономерности изменчивости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Генетика человека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Селекция организмов</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Биотехнология и синтетическая биология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Резервное время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3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666"/>
        <w:gridCol w:w="2720"/>
        <w:gridCol w:w="1404"/>
        <w:gridCol w:w="2437"/>
        <w:gridCol w:w="2563"/>
        <w:gridCol w:w="3803"/>
      </w:tblGrid>
      <w:tr>
        <w:trPr>
          <w:trHeight w:val="144" w:hRule="atLeast"/>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0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38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6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0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Зарождение и развитие эволюционных представлений в биологии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Микроэволюция и её результаты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Макроэволюция и её результаты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Происхождение и развитие жизни на Земле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Происхождение человека – антропогенез</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Организмы и среда обитания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Экология видов и популяций</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Экология сообществ. Экологические системы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Биосфера – глобальная экосистема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Человек и окружающая среда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Резервное время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3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7.5 </w:t>
            </w:r>
          </w:p>
        </w:tc>
        <w:tc>
          <w:tcPr>
            <w:tcW w:w="3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1" w:name="block-7206713"/>
      <w:bookmarkStart w:id="22" w:name="block-7206713"/>
      <w:bookmarkEnd w:id="22"/>
    </w:p>
    <w:p>
      <w:pPr>
        <w:pStyle w:val="Normal"/>
        <w:spacing w:before="0" w:after="0"/>
        <w:ind w:left="120" w:hanging="0"/>
        <w:jc w:val="left"/>
        <w:rPr>
          <w:rFonts w:ascii="Times New Roman" w:hAnsi="Times New Roman"/>
          <w:b/>
          <w:b/>
          <w:i w:val="false"/>
          <w:i w:val="false"/>
          <w:color w:val="000000"/>
          <w:sz w:val="28"/>
        </w:rPr>
      </w:pPr>
      <w:bookmarkStart w:id="23" w:name="block-7206708"/>
      <w:bookmarkEnd w:id="23"/>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633"/>
        <w:gridCol w:w="3200"/>
        <w:gridCol w:w="1111"/>
        <w:gridCol w:w="2094"/>
        <w:gridCol w:w="2242"/>
        <w:gridCol w:w="1578"/>
        <w:gridCol w:w="2735"/>
      </w:tblGrid>
      <w:tr>
        <w:trPr>
          <w:trHeight w:val="144" w:hRule="atLeast"/>
        </w:trPr>
        <w:tc>
          <w:tcPr>
            <w:tcW w:w="6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4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15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3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3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Биология как комплексная наука и как часть современного общества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Живые системы и их свойства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Уровневая организация живых систем</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История открытия и изучения клетки. Клеточная теория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Химический состав клетки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Минеральные вещества клетки, их биологическая роль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Свойства, классификация и функции белков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Органические вещества клетки — углеводы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Органические вещества клетки — липиды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Строение и функции АТФ. Другие нуклеозидтрифосфаты (НТФ)</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Секвенирование ДНК. Методы геномики, транскриптомики, протеомики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Методы структурной биологии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Типы клеток. Прокариотическая клетка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Поверхностный аппарат клетки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Немембранные органоиды клетки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Строение и функции ядра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Белки-активаторы и белки-ингибиторы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Автотрофный тип обмена веществ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Фотосинтез</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Аэробные организмы. Этапы энергетического обмена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Реакции матричного синтеза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Транскрипция — матричный синтез РНК</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Трансляция и её этапы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Кодирование аминокислот. Роль рибосом в биосинтезе белка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Организация генома у прокариот и эукариот</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Молекулярные механизмы экспрессии генов у эукариот</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Вирусные заболевания человека, животных, растений</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Нанотехнологии в биологии и медицине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Жизненный цикл клетки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Матричный синтез ДНК</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Деление клетки — митоз</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Регуляция жизненного цикла клеток</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Организм как единое целое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Ткани растений. Лабораторная работа «Изучение тканей растений»</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Опора тела организмов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Движение организмов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Питание организмов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Питание позвоночных животных. Пищеварительная система человека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Дыхание организмов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Дыхание позвоночных животных и человека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Транспорт веществ у организмов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Кровеносная система позвоночных животных и человека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Выделение у организмов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Защита у организмов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Иммунная система человека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Раздражимость и регуляция у организмов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Гуморальная регуляция и эндокринная система животных и человека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Формы размножения организмов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Половое размножение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Мейоз</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Индивидуальное развитие организмов — онтогенез</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Закладка органов и тканей из зародышевых листков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История становления и развития генетики как науки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Цитологические основы моногибридного скрещивания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Анализирующее скрещивание. Неполное доминирование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Цитологические основы дигибридного скрещивания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Сцепленное наследование признаков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Хромосомная теория наследственности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Генетика пола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Генотип как целостная система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Генетический контроль развития растений, животных и человека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Изменчивость признаков. Виды изменчивости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Модификационная изменчивость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Генотипическая изменчивость. Комбинативная изменчивость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Закономерности мутационного процесса. Эпигенетика и эпигеномика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Методы медицинской генетики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Сохранение, изучение и использование генетических ресурсов</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направления синтетической биологии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Хромосомная и генная инженерия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Медицинские биотехнологии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83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13.5 </w:t>
            </w:r>
          </w:p>
        </w:tc>
        <w:tc>
          <w:tcPr>
            <w:tcW w:w="431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648"/>
        <w:gridCol w:w="3040"/>
        <w:gridCol w:w="1136"/>
        <w:gridCol w:w="2127"/>
        <w:gridCol w:w="2272"/>
        <w:gridCol w:w="1604"/>
        <w:gridCol w:w="276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5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4"/>
              </w:rPr>
            </w:pPr>
            <w:r>
              <w:rPr>
                <w:rFonts w:ascii="Times New Roman" w:hAnsi="Times New Roman"/>
                <w:b/>
                <w:i w:val="false"/>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4"/>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0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Эволюционная теория Ч. Дарвина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Движущие силы эволюции видов по Ч. Дарвину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Борьба за существование, естественный и искусственный отбор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Формирование синтетической теории эволюции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Этапы эволюционного процесса: микроэволюция и макроэволюция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Популяция — элементарная единица эволюции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Элементарные факторы эволюции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Эффект основателя. Эффект бутылочного горлышка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Миграции. Изоляции популяций: географическая, биологическая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Естественный отбор — направляющий фактор эволюции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Половой отбор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Структура вида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Видообразование как результат микроэволюции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Связь микроэволюции и эпидемиологии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Макроэволюция. Палеонтологические методы изучения эволюции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Биогеографические методы изучения эволюции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Общие закономерности эволюции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Адаптивная радиация. Неравномерность темпов эволюции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Научные гипотезы происхождения жизни на Земле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Донаучные представления о зарождении жизни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этапы неорганической эволюции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Гипотезы зарождения жизни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Начальные этапы органической эволюции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Эволюция эукариот</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этапы эволюции животного мира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Развитие жизни на Земле по эрам и периодам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Массовые вымирания — экологические кризисы прошлого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Современный экологический кризис, его особенности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Современная система органического прошлого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систематические группы организмов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Антропология — наука о человеке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Развитие представлений о происхождении человека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Движущие силы антропогенеза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Соотношение биологических и социальных факторов в антропогенезе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стадии антропогенеза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Палеогенетика и палеогеномика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Эволюция современного человека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Междисциплинарные методы антропологии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Зарождение и развитие экологии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Значение экологических знаний для человека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Экологические факторы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Среды обитания организмов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Биологические ритмы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Жизненные формы организмов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Биотические факторы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Экологические характеристики популяции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Экологическая структура популяции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Динамика популяции и её регуляция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Кривые роста численности популяции. Кривые выживания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Вид как система популяций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Закономерности поведения и миграций животных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Сообщество организмов — биоценоз</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Экосистема как открытая система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Круговорот веществ и поток энергии в экосистеме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показатели экосистемы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Экологические пирамиды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Изменения сообществ — сукцессии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Природные экосистемы. Экосистемы тундр, лесов, степей, пустынь</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Антропогенные экосистемы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Биосфера — общепланетарная оболочка Земли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Учение В. И. Вернадского о биосфере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Закономерности существования биосферы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Круговороты веществ и биогеохимические циклы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Зональность биосферы. Основные биомы суши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Устойчивость биосферы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Экологические кризисы и их причины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Воздействие человека на биосферу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Антропогенное воздействие на растительный и животный мир</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Охрана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Основные принципы устойчивого развития человечества и природы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Обобщение по теме «Микроэволюция и её результаты»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Обобщение по теме «Макроэволюция и её результаты»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Обобщение по теме «Происхождение и развитие жизни на Земле»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Обобщение по теме «Происхождение человека – антропогенез»</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Обобщение по теме «Экология – наука о взаимоотношениях организмов»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Обобщение по теме «Организмы и среда обитания»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Обобщение по теме «Экология видов и популяций»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Обобщение по теме «Биосфера – глобальная экосистема»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6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val="false"/>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val="false"/>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7.5 </w:t>
            </w:r>
          </w:p>
        </w:tc>
        <w:tc>
          <w:tcPr>
            <w:tcW w:w="43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4" w:name="block-7206708"/>
      <w:bookmarkStart w:id="25" w:name="block-7206708"/>
      <w:bookmarkEnd w:id="25"/>
    </w:p>
    <w:p>
      <w:pPr>
        <w:pStyle w:val="Normal"/>
        <w:spacing w:before="0" w:after="0"/>
        <w:ind w:left="120" w:hanging="0"/>
        <w:jc w:val="left"/>
        <w:rPr>
          <w:rFonts w:ascii="Times New Roman" w:hAnsi="Times New Roman"/>
          <w:b/>
          <w:b/>
          <w:i w:val="false"/>
          <w:i w:val="false"/>
          <w:color w:val="000000"/>
          <w:sz w:val="28"/>
        </w:rPr>
      </w:pPr>
      <w:bookmarkStart w:id="26" w:name="block-7206714_Copy_1"/>
      <w:bookmarkEnd w:id="26"/>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
      <w:bookmarkStart w:id="27" w:name="block-7206714_Copy_1"/>
      <w:bookmarkStart w:id="28" w:name="block-7206714"/>
      <w:bookmarkStart w:id="29" w:name="block-7206714_Copy_1"/>
      <w:bookmarkStart w:id="30" w:name="block-7206714"/>
      <w:bookmarkEnd w:id="29"/>
      <w:bookmarkEnd w:id="30"/>
    </w:p>
    <w:p>
      <w:pPr>
        <w:pStyle w:val="Normal"/>
        <w:spacing w:before="0" w:after="200"/>
        <w:rPr/>
      </w:pPr>
      <w:r>
        <w:rPr/>
      </w:r>
      <w:bookmarkStart w:id="31" w:name="block-7206714"/>
      <w:bookmarkStart w:id="32" w:name="block-7206714"/>
      <w:bookmarkEnd w:id="32"/>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2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Style11">
    <w:name w:val="Hyperlink"/>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70</Pages>
  <Words>12324</Words>
  <Characters>95366</Characters>
  <CharactersWithSpaces>107099</CharactersWithSpaces>
  <Paragraphs>1350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2023-09-27T19:36:18Z</dcterms:modified>
  <cp:revision>2</cp:revision>
  <dc:subject/>
  <dc:title/>
</cp:coreProperties>
</file>